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656C" w14:textId="3DD4A402" w:rsidR="00D44B67" w:rsidRPr="00EC35E6" w:rsidRDefault="009410BB" w:rsidP="009410BB">
      <w:pPr>
        <w:rPr>
          <w:b/>
          <w:bCs/>
          <w:sz w:val="24"/>
          <w:szCs w:val="24"/>
        </w:rPr>
      </w:pPr>
      <w:proofErr w:type="spellStart"/>
      <w:r w:rsidRPr="00EC35E6">
        <w:rPr>
          <w:b/>
          <w:bCs/>
          <w:sz w:val="24"/>
          <w:szCs w:val="24"/>
        </w:rPr>
        <w:t>Kawenata</w:t>
      </w:r>
      <w:proofErr w:type="spellEnd"/>
      <w:r w:rsidRPr="00EC35E6">
        <w:rPr>
          <w:b/>
          <w:bCs/>
          <w:sz w:val="24"/>
          <w:szCs w:val="24"/>
        </w:rPr>
        <w:t>: Key facts that can be use</w:t>
      </w:r>
      <w:r w:rsidR="00EC35E6" w:rsidRPr="00EC35E6">
        <w:rPr>
          <w:b/>
          <w:bCs/>
          <w:sz w:val="24"/>
          <w:szCs w:val="24"/>
        </w:rPr>
        <w:t>d</w:t>
      </w:r>
      <w:r w:rsidRPr="00EC35E6">
        <w:rPr>
          <w:b/>
          <w:bCs/>
          <w:sz w:val="24"/>
          <w:szCs w:val="24"/>
        </w:rPr>
        <w:t xml:space="preserve"> for public consultation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9410BB" w14:paraId="72F776C5" w14:textId="77777777" w:rsidTr="00EC35E6">
        <w:tc>
          <w:tcPr>
            <w:tcW w:w="3970" w:type="dxa"/>
            <w:shd w:val="clear" w:color="auto" w:fill="D9D9D9" w:themeFill="background1" w:themeFillShade="D9"/>
          </w:tcPr>
          <w:p w14:paraId="07B50D4C" w14:textId="546DEFE3" w:rsidR="009410BB" w:rsidRDefault="009410BB" w:rsidP="009410BB">
            <w:r>
              <w:t>Statement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7CBDD59" w14:textId="77E85F22" w:rsidR="009410BB" w:rsidRDefault="009410BB" w:rsidP="009410BB">
            <w:r>
              <w:t>Source</w:t>
            </w:r>
          </w:p>
        </w:tc>
      </w:tr>
      <w:tr w:rsidR="00A85D2E" w14:paraId="4983D7EB" w14:textId="77777777" w:rsidTr="00EC35E6">
        <w:tc>
          <w:tcPr>
            <w:tcW w:w="3970" w:type="dxa"/>
          </w:tcPr>
          <w:p w14:paraId="059743D1" w14:textId="77777777" w:rsidR="00A85D2E" w:rsidRDefault="0056471F" w:rsidP="009410BB">
            <w:r>
              <w:t xml:space="preserve">Since the commencement of the Second World War, around </w:t>
            </w:r>
            <w:r w:rsidRPr="00D76442">
              <w:rPr>
                <w:b/>
                <w:bCs/>
              </w:rPr>
              <w:t>500,00 people</w:t>
            </w:r>
            <w:r>
              <w:t xml:space="preserve"> have served in our defence force.</w:t>
            </w:r>
          </w:p>
          <w:p w14:paraId="3CA679FC" w14:textId="122A8E06" w:rsidR="00D76442" w:rsidRDefault="00D76442" w:rsidP="009410BB"/>
        </w:tc>
        <w:tc>
          <w:tcPr>
            <w:tcW w:w="5386" w:type="dxa"/>
          </w:tcPr>
          <w:p w14:paraId="59A27C35" w14:textId="015E3294" w:rsidR="00A85D2E" w:rsidRDefault="0056471F" w:rsidP="009410BB">
            <w:r>
              <w:t xml:space="preserve">VAB </w:t>
            </w:r>
            <w:r w:rsidR="00D76442">
              <w:t>interim report on what constitutes a veteran (June 2019). Estimate based on modelling.</w:t>
            </w:r>
          </w:p>
        </w:tc>
      </w:tr>
      <w:tr w:rsidR="0056471F" w14:paraId="439491AE" w14:textId="77777777" w:rsidTr="00EC35E6">
        <w:tc>
          <w:tcPr>
            <w:tcW w:w="3970" w:type="dxa"/>
          </w:tcPr>
          <w:p w14:paraId="6D638B68" w14:textId="51883912" w:rsidR="0056471F" w:rsidRDefault="0056471F" w:rsidP="009410BB">
            <w:r>
              <w:t xml:space="preserve">Around </w:t>
            </w:r>
            <w:r w:rsidRPr="00D76442">
              <w:rPr>
                <w:b/>
                <w:bCs/>
              </w:rPr>
              <w:t>120,000</w:t>
            </w:r>
            <w:r>
              <w:t xml:space="preserve"> are still alive today.</w:t>
            </w:r>
          </w:p>
        </w:tc>
        <w:tc>
          <w:tcPr>
            <w:tcW w:w="5386" w:type="dxa"/>
          </w:tcPr>
          <w:p w14:paraId="0E0D445F" w14:textId="15C71882" w:rsidR="0056471F" w:rsidRDefault="00D76442" w:rsidP="009410BB">
            <w:r>
              <w:t>VAB interim report on what constitutes a veteran (June 2019). Estimate based on modelling.</w:t>
            </w:r>
          </w:p>
          <w:p w14:paraId="1EE7F451" w14:textId="17114EEB" w:rsidR="00D76442" w:rsidRDefault="00D76442" w:rsidP="009410BB"/>
        </w:tc>
      </w:tr>
      <w:tr w:rsidR="00624DB3" w14:paraId="6837533F" w14:textId="77777777" w:rsidTr="00EC35E6">
        <w:tc>
          <w:tcPr>
            <w:tcW w:w="3970" w:type="dxa"/>
          </w:tcPr>
          <w:p w14:paraId="2D8A111F" w14:textId="2BBFB841" w:rsidR="00624DB3" w:rsidRPr="00624DB3" w:rsidRDefault="00E17630" w:rsidP="009410BB">
            <w:r>
              <w:t xml:space="preserve">We have had over </w:t>
            </w:r>
            <w:r w:rsidRPr="00E17630">
              <w:rPr>
                <w:b/>
                <w:bCs/>
              </w:rPr>
              <w:t>100 overseas deployments</w:t>
            </w:r>
            <w:r>
              <w:t xml:space="preserve"> since 1974.</w:t>
            </w:r>
          </w:p>
        </w:tc>
        <w:tc>
          <w:tcPr>
            <w:tcW w:w="5386" w:type="dxa"/>
          </w:tcPr>
          <w:p w14:paraId="55F8CA0E" w14:textId="60700C50" w:rsidR="00624DB3" w:rsidRDefault="00624DB3" w:rsidP="009410BB">
            <w:r>
              <w:t xml:space="preserve">VANZ website. </w:t>
            </w:r>
            <w:r w:rsidR="00E17630">
              <w:t>Review of Qualifying Operational Service is covering over 100 deployments since 1 April 1974 (which is generally considered the starting point for contemporary veterans, and aligns with the VSA 2014).</w:t>
            </w:r>
          </w:p>
          <w:p w14:paraId="24BFAC07" w14:textId="7C369B82" w:rsidR="00624DB3" w:rsidRDefault="00624DB3" w:rsidP="009410BB"/>
        </w:tc>
      </w:tr>
      <w:tr w:rsidR="009410BB" w14:paraId="26FA2749" w14:textId="77777777" w:rsidTr="00EC35E6">
        <w:tc>
          <w:tcPr>
            <w:tcW w:w="3970" w:type="dxa"/>
          </w:tcPr>
          <w:p w14:paraId="7210D797" w14:textId="1EDBAEE1" w:rsidR="009410BB" w:rsidRDefault="00E82417" w:rsidP="009410BB">
            <w:r w:rsidRPr="00E82417">
              <w:t xml:space="preserve">But </w:t>
            </w:r>
            <w:r w:rsidRPr="00172E78">
              <w:rPr>
                <w:b/>
                <w:bCs/>
              </w:rPr>
              <w:t>u</w:t>
            </w:r>
            <w:r w:rsidR="00A85D2E" w:rsidRPr="00D76442">
              <w:rPr>
                <w:b/>
                <w:bCs/>
              </w:rPr>
              <w:t xml:space="preserve">nder </w:t>
            </w:r>
            <w:r w:rsidR="00A85D2E" w:rsidRPr="00A85D2E">
              <w:rPr>
                <w:b/>
                <w:bCs/>
              </w:rPr>
              <w:t>1.5%</w:t>
            </w:r>
            <w:r w:rsidR="00A85D2E">
              <w:t xml:space="preserve"> of eligible service people under 6</w:t>
            </w:r>
            <w:r w:rsidR="00624DB3">
              <w:t>5</w:t>
            </w:r>
            <w:r w:rsidR="00A85D2E">
              <w:t xml:space="preserve"> years of age access Government-funded veterans support.</w:t>
            </w:r>
          </w:p>
        </w:tc>
        <w:tc>
          <w:tcPr>
            <w:tcW w:w="5386" w:type="dxa"/>
          </w:tcPr>
          <w:p w14:paraId="165528F7" w14:textId="1319CAF2" w:rsidR="009410BB" w:rsidRDefault="00A85D2E" w:rsidP="009410BB">
            <w:r>
              <w:t>VANZ. Using VA</w:t>
            </w:r>
            <w:r w:rsidR="00624DB3">
              <w:t>NZ</w:t>
            </w:r>
            <w:r>
              <w:t xml:space="preserve">’s </w:t>
            </w:r>
            <w:r w:rsidR="00D76442">
              <w:t xml:space="preserve">actual </w:t>
            </w:r>
            <w:r>
              <w:t>figures of 450 (1.45%) to 500 (1.6%) people under 6</w:t>
            </w:r>
            <w:r w:rsidR="00624DB3">
              <w:t>5</w:t>
            </w:r>
            <w:r>
              <w:t xml:space="preserve"> accessing veterans support services. Out of a conservative estimate of 31,000 eligible.</w:t>
            </w:r>
          </w:p>
          <w:p w14:paraId="5F8B62E7" w14:textId="77777777" w:rsidR="00624DB3" w:rsidRDefault="00624DB3" w:rsidP="009410BB"/>
          <w:p w14:paraId="67EB0C02" w14:textId="510A4C31" w:rsidR="00624DB3" w:rsidRDefault="00624DB3" w:rsidP="009410BB">
            <w:r>
              <w:t>Note there are around 8000 veterans on VANZ’s books at the moment (excluding spouses and partners).</w:t>
            </w:r>
          </w:p>
          <w:p w14:paraId="0B2BB638" w14:textId="28852124" w:rsidR="00A85D2E" w:rsidRDefault="00A85D2E" w:rsidP="009410BB"/>
        </w:tc>
      </w:tr>
      <w:tr w:rsidR="009410BB" w14:paraId="475D915D" w14:textId="77777777" w:rsidTr="00EC35E6">
        <w:tc>
          <w:tcPr>
            <w:tcW w:w="3970" w:type="dxa"/>
          </w:tcPr>
          <w:p w14:paraId="1E6B0291" w14:textId="7627D873" w:rsidR="009410BB" w:rsidRDefault="00C64180" w:rsidP="009410BB">
            <w:r>
              <w:t xml:space="preserve">Post-traumatic Stress is </w:t>
            </w:r>
            <w:r w:rsidRPr="00C64180">
              <w:rPr>
                <w:b/>
                <w:bCs/>
              </w:rPr>
              <w:t>highly prevalent</w:t>
            </w:r>
            <w:r>
              <w:t xml:space="preserve"> among our service people.</w:t>
            </w:r>
          </w:p>
          <w:p w14:paraId="65C1E40C" w14:textId="06C71486" w:rsidR="00C64180" w:rsidRDefault="00C64180" w:rsidP="009410BB"/>
        </w:tc>
        <w:tc>
          <w:tcPr>
            <w:tcW w:w="5386" w:type="dxa"/>
          </w:tcPr>
          <w:p w14:paraId="09418EA5" w14:textId="77777777" w:rsidR="009410BB" w:rsidRDefault="00C64180" w:rsidP="009410BB">
            <w:r w:rsidRPr="00C64180">
              <w:rPr>
                <w:i/>
                <w:iCs/>
              </w:rPr>
              <w:t>Risk and Protective Factors for post-traumatic stress among New Zealand military personnel: A cross sectional study</w:t>
            </w:r>
            <w:r>
              <w:t xml:space="preserve">. </w:t>
            </w:r>
            <w:proofErr w:type="spellStart"/>
            <w:proofErr w:type="gramStart"/>
            <w:r>
              <w:t>A.Richardson</w:t>
            </w:r>
            <w:proofErr w:type="spellEnd"/>
            <w:proofErr w:type="gramEnd"/>
            <w:r>
              <w:t xml:space="preserve"> et al. PLOS One, 15 April 2020. This recent study suggests that the rate of PTS amongst NZ military personnel is over 3 times that in the general population.</w:t>
            </w:r>
          </w:p>
          <w:p w14:paraId="5A5699F7" w14:textId="6E1DD356" w:rsidR="00C64180" w:rsidRDefault="00C64180" w:rsidP="009410BB"/>
        </w:tc>
      </w:tr>
      <w:tr w:rsidR="009410BB" w14:paraId="4E5D4BCA" w14:textId="77777777" w:rsidTr="00EC35E6">
        <w:tc>
          <w:tcPr>
            <w:tcW w:w="3970" w:type="dxa"/>
          </w:tcPr>
          <w:p w14:paraId="2D247C2E" w14:textId="2043B48B" w:rsidR="009410BB" w:rsidRDefault="008B1C1C" w:rsidP="009410BB">
            <w:r>
              <w:t xml:space="preserve">Acceptance and finding a new mission </w:t>
            </w:r>
            <w:proofErr w:type="gramStart"/>
            <w:r>
              <w:t>is</w:t>
            </w:r>
            <w:proofErr w:type="gramEnd"/>
            <w:r>
              <w:t xml:space="preserve"> a major issue for those leaving the service. Research suggests:</w:t>
            </w:r>
          </w:p>
          <w:p w14:paraId="6071EA66" w14:textId="5A0CA79F" w:rsidR="008B1C1C" w:rsidRDefault="008B1C1C" w:rsidP="008B1C1C">
            <w:pPr>
              <w:pStyle w:val="ListParagraph"/>
              <w:numPr>
                <w:ilvl w:val="0"/>
                <w:numId w:val="5"/>
              </w:numPr>
            </w:pPr>
            <w:r w:rsidRPr="00BC2A64">
              <w:rPr>
                <w:b/>
                <w:bCs/>
              </w:rPr>
              <w:t>75% of people leave the forces with no secure employment</w:t>
            </w:r>
            <w:r>
              <w:t>.</w:t>
            </w:r>
          </w:p>
          <w:p w14:paraId="432C667C" w14:textId="41E42733" w:rsidR="008B1C1C" w:rsidRDefault="008B1C1C" w:rsidP="009410BB">
            <w:pPr>
              <w:pStyle w:val="ListParagraph"/>
              <w:numPr>
                <w:ilvl w:val="0"/>
                <w:numId w:val="5"/>
              </w:numPr>
            </w:pPr>
            <w:r>
              <w:t>The transition experience is poor and has not improved over the past 15 years.</w:t>
            </w:r>
          </w:p>
          <w:p w14:paraId="6B9E878E" w14:textId="6BBCC05B" w:rsidR="008B1C1C" w:rsidRDefault="008B1C1C" w:rsidP="009410BB"/>
        </w:tc>
        <w:tc>
          <w:tcPr>
            <w:tcW w:w="5386" w:type="dxa"/>
          </w:tcPr>
          <w:p w14:paraId="77324567" w14:textId="4AF7472C" w:rsidR="009410BB" w:rsidRDefault="008B1C1C" w:rsidP="009410BB">
            <w:r>
              <w:t xml:space="preserve">Post-transition Ltd/Massey University research. Based on a survey of around 1400 ex-service people and available in two 2019 reports </w:t>
            </w:r>
            <w:r w:rsidRPr="008B1C1C">
              <w:rPr>
                <w:i/>
                <w:iCs/>
              </w:rPr>
              <w:t>Finding Meaning</w:t>
            </w:r>
            <w:r>
              <w:t xml:space="preserve"> and </w:t>
            </w:r>
            <w:r w:rsidRPr="008B1C1C">
              <w:rPr>
                <w:i/>
                <w:iCs/>
              </w:rPr>
              <w:t>A Failure to Care</w:t>
            </w:r>
            <w:r>
              <w:t xml:space="preserve"> at </w:t>
            </w:r>
            <w:hyperlink r:id="rId5" w:history="1">
              <w:r w:rsidRPr="003D04CC">
                <w:rPr>
                  <w:rStyle w:val="Hyperlink"/>
                </w:rPr>
                <w:t>https://www.posttransition.co.nz/reports</w:t>
              </w:r>
            </w:hyperlink>
          </w:p>
          <w:p w14:paraId="655BA0C7" w14:textId="288E6343" w:rsidR="008B1C1C" w:rsidRDefault="008B1C1C" w:rsidP="009410BB">
            <w:r>
              <w:t>Key findings were:</w:t>
            </w:r>
          </w:p>
          <w:p w14:paraId="7982C692" w14:textId="15C53A31" w:rsidR="008B1C1C" w:rsidRDefault="008B1C1C" w:rsidP="008B1C1C">
            <w:pPr>
              <w:pStyle w:val="ListParagraph"/>
              <w:numPr>
                <w:ilvl w:val="0"/>
                <w:numId w:val="6"/>
              </w:numPr>
            </w:pPr>
            <w:r>
              <w:t>25% have secure employment when they leave the forces.</w:t>
            </w:r>
          </w:p>
          <w:p w14:paraId="092E7565" w14:textId="4A56152F" w:rsidR="008B1C1C" w:rsidRDefault="008B1C1C" w:rsidP="008B1C1C">
            <w:pPr>
              <w:pStyle w:val="ListParagraph"/>
              <w:numPr>
                <w:ilvl w:val="0"/>
                <w:numId w:val="6"/>
              </w:numPr>
            </w:pPr>
            <w:r>
              <w:t>The transition experience was rated 4.02/10 overall.</w:t>
            </w:r>
          </w:p>
          <w:p w14:paraId="795ECD8A" w14:textId="4A03FB1C" w:rsidR="008B1C1C" w:rsidRDefault="008B1C1C" w:rsidP="008B1C1C">
            <w:pPr>
              <w:pStyle w:val="ListParagraph"/>
              <w:numPr>
                <w:ilvl w:val="0"/>
                <w:numId w:val="6"/>
              </w:numPr>
            </w:pPr>
            <w:r>
              <w:t>There was very low support from the NZDF before exit. This was rated 3.5/10 overall.</w:t>
            </w:r>
          </w:p>
          <w:p w14:paraId="3BC34C92" w14:textId="6F06724B" w:rsidR="008B1C1C" w:rsidRDefault="008B1C1C" w:rsidP="009410BB"/>
        </w:tc>
      </w:tr>
      <w:tr w:rsidR="009410BB" w14:paraId="09345810" w14:textId="77777777" w:rsidTr="00EC35E6">
        <w:tc>
          <w:tcPr>
            <w:tcW w:w="3970" w:type="dxa"/>
          </w:tcPr>
          <w:p w14:paraId="6C315A8C" w14:textId="30826E3F" w:rsidR="009410BB" w:rsidRDefault="00AD0318" w:rsidP="009410BB">
            <w:r>
              <w:t>There are around 450 former service people in our prisons.</w:t>
            </w:r>
          </w:p>
        </w:tc>
        <w:tc>
          <w:tcPr>
            <w:tcW w:w="5386" w:type="dxa"/>
          </w:tcPr>
          <w:p w14:paraId="67219792" w14:textId="77777777" w:rsidR="00EC35E6" w:rsidRDefault="00AD0318" w:rsidP="009410BB">
            <w:r w:rsidRPr="00AD0318">
              <w:rPr>
                <w:b/>
                <w:bCs/>
              </w:rPr>
              <w:t>Have asked for confirmation/source of data</w:t>
            </w:r>
            <w:r>
              <w:rPr>
                <w:b/>
                <w:bCs/>
              </w:rPr>
              <w:t xml:space="preserve"> from VANZ</w:t>
            </w:r>
            <w:r w:rsidRPr="00AD0318">
              <w:rPr>
                <w:b/>
                <w:bCs/>
              </w:rPr>
              <w:t>.</w:t>
            </w:r>
            <w:r>
              <w:t xml:space="preserve"> Note that international evidence suggests former serving members are not necessarily over-represented in prison, but they are the largest occupational group in prison (</w:t>
            </w:r>
            <w:proofErr w:type="spellStart"/>
            <w:r>
              <w:t>Aus</w:t>
            </w:r>
            <w:proofErr w:type="spellEnd"/>
            <w:r>
              <w:t xml:space="preserve"> and UK). They are primarily incarcerated for violent and sexual crimes.</w:t>
            </w:r>
          </w:p>
          <w:p w14:paraId="3C6BA8B7" w14:textId="72093ACC" w:rsidR="009410BB" w:rsidRDefault="00AD0318" w:rsidP="009410BB">
            <w:r>
              <w:t xml:space="preserve"> </w:t>
            </w:r>
          </w:p>
        </w:tc>
      </w:tr>
    </w:tbl>
    <w:p w14:paraId="563D4D21" w14:textId="4A170137" w:rsidR="00AB1BC6" w:rsidRDefault="00AB1BC6" w:rsidP="00EC35E6">
      <w:r>
        <w:br w:type="page"/>
      </w:r>
    </w:p>
    <w:p w14:paraId="79FA14DD" w14:textId="77777777" w:rsidR="00AB1BC6" w:rsidRPr="00AB1BC6" w:rsidRDefault="00AB1BC6" w:rsidP="00AB1BC6">
      <w:r w:rsidRPr="00AB1BC6">
        <w:lastRenderedPageBreak/>
        <w:t>The Government expects the New Zealand Defence Force to support New Zealand’s security, resilience and wellbeing across a broad range of activities. Defence people must deliver across a range of tasks including:</w:t>
      </w:r>
    </w:p>
    <w:p w14:paraId="09FF61AB" w14:textId="0A2BD9C6" w:rsidR="00AB1BC6" w:rsidRPr="00AB1BC6" w:rsidRDefault="00AB1BC6" w:rsidP="00AB1BC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AB1BC6">
        <w:rPr>
          <w:rFonts w:eastAsia="Times New Roman"/>
        </w:rPr>
        <w:t xml:space="preserve">Responding at short notice to domestic emergencies and disasters </w:t>
      </w:r>
      <w:r>
        <w:rPr>
          <w:rFonts w:eastAsia="Times New Roman"/>
        </w:rPr>
        <w:t xml:space="preserve">and those </w:t>
      </w:r>
      <w:r w:rsidRPr="00AB1BC6">
        <w:rPr>
          <w:rFonts w:eastAsia="Times New Roman"/>
        </w:rPr>
        <w:t>outside New Zealand. For example, assisting Police following the Christchurch mosque attacks in 2019, support to the emergency response and recovery operation following the eruption on Whakaari/White Island, and support to the Indonesian earthquake in 2018.</w:t>
      </w:r>
    </w:p>
    <w:p w14:paraId="25528882" w14:textId="77777777" w:rsidR="00AB1BC6" w:rsidRPr="00AB1BC6" w:rsidRDefault="00AB1BC6" w:rsidP="00AB1BC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AB1BC6">
        <w:rPr>
          <w:rFonts w:eastAsia="Times New Roman"/>
        </w:rPr>
        <w:t>Activities in New Zealand including explosive ordnance disposal, search and rescue, and supporting the Department of Conservation.</w:t>
      </w:r>
    </w:p>
    <w:p w14:paraId="6A4B9D38" w14:textId="77777777" w:rsidR="00AB1BC6" w:rsidRPr="00AB1BC6" w:rsidRDefault="00AB1BC6" w:rsidP="00AB1BC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AB1BC6">
        <w:rPr>
          <w:rFonts w:eastAsia="Times New Roman"/>
        </w:rPr>
        <w:t>Air Force and Naval maritime surveillance patrols and exercises within New Zealand’s Exclusive Economic Zone and the Asia-Pacific.</w:t>
      </w:r>
    </w:p>
    <w:p w14:paraId="71DB5DCF" w14:textId="77777777" w:rsidR="00AB1BC6" w:rsidRPr="00AB1BC6" w:rsidRDefault="00AB1BC6" w:rsidP="00AB1BC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AB1BC6">
        <w:rPr>
          <w:rFonts w:eastAsia="Times New Roman"/>
        </w:rPr>
        <w:t>Support to scientific programmes in Antarctica.</w:t>
      </w:r>
    </w:p>
    <w:p w14:paraId="07AAC0B2" w14:textId="77777777" w:rsidR="00AB1BC6" w:rsidRPr="00AB1BC6" w:rsidRDefault="00AB1BC6" w:rsidP="00AB1BC6">
      <w:pPr>
        <w:pStyle w:val="ListParagraph"/>
        <w:numPr>
          <w:ilvl w:val="0"/>
          <w:numId w:val="7"/>
        </w:numPr>
        <w:spacing w:line="252" w:lineRule="auto"/>
        <w:rPr>
          <w:rFonts w:eastAsia="Times New Roman"/>
        </w:rPr>
      </w:pPr>
      <w:r w:rsidRPr="00AB1BC6">
        <w:rPr>
          <w:rFonts w:eastAsia="Times New Roman"/>
        </w:rPr>
        <w:t xml:space="preserve">Operations contributing to global peace and security and humanitarian support, including training deployments in Iraq and Afghanistan and peacekeeping missions in the Middle East and Africa. </w:t>
      </w:r>
    </w:p>
    <w:p w14:paraId="3CAF0EC2" w14:textId="77777777" w:rsidR="00AB1BC6" w:rsidRDefault="00AB1BC6" w:rsidP="00AB1BC6">
      <w:pPr>
        <w:ind w:left="360"/>
        <w:rPr>
          <w:rFonts w:eastAsiaTheme="minorHAnsi"/>
        </w:rPr>
      </w:pPr>
      <w:r w:rsidRPr="00AB1BC6">
        <w:t>In 2018/19 the Defence Force had 14 operations and locations of other deployed personnel around the world.</w:t>
      </w:r>
      <w:r>
        <w:t xml:space="preserve"> </w:t>
      </w:r>
    </w:p>
    <w:p w14:paraId="6F96824E" w14:textId="77777777" w:rsidR="009410BB" w:rsidRDefault="009410BB" w:rsidP="00EC35E6"/>
    <w:sectPr w:rsidR="00941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A7D"/>
    <w:multiLevelType w:val="hybridMultilevel"/>
    <w:tmpl w:val="3B72F7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60609"/>
    <w:multiLevelType w:val="hybridMultilevel"/>
    <w:tmpl w:val="776E3BD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85111"/>
    <w:multiLevelType w:val="hybridMultilevel"/>
    <w:tmpl w:val="69D22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D2E82"/>
    <w:multiLevelType w:val="hybridMultilevel"/>
    <w:tmpl w:val="E604E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E4A28"/>
    <w:multiLevelType w:val="hybridMultilevel"/>
    <w:tmpl w:val="3DFC5B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1ECE"/>
    <w:multiLevelType w:val="hybridMultilevel"/>
    <w:tmpl w:val="E2289C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1250F"/>
    <w:multiLevelType w:val="hybridMultilevel"/>
    <w:tmpl w:val="F48076C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C"/>
    <w:rsid w:val="00121A05"/>
    <w:rsid w:val="00172E78"/>
    <w:rsid w:val="002753BA"/>
    <w:rsid w:val="003C33BB"/>
    <w:rsid w:val="003C4239"/>
    <w:rsid w:val="00510585"/>
    <w:rsid w:val="0056471F"/>
    <w:rsid w:val="005751CB"/>
    <w:rsid w:val="00624DB3"/>
    <w:rsid w:val="006E016A"/>
    <w:rsid w:val="007114DE"/>
    <w:rsid w:val="008241E7"/>
    <w:rsid w:val="008B1C1C"/>
    <w:rsid w:val="008B3B45"/>
    <w:rsid w:val="008C54DC"/>
    <w:rsid w:val="008C79F5"/>
    <w:rsid w:val="009410BB"/>
    <w:rsid w:val="00A85D2E"/>
    <w:rsid w:val="00AB1BC6"/>
    <w:rsid w:val="00AC2F87"/>
    <w:rsid w:val="00AD0318"/>
    <w:rsid w:val="00BC2A64"/>
    <w:rsid w:val="00C64180"/>
    <w:rsid w:val="00D44B67"/>
    <w:rsid w:val="00D76442"/>
    <w:rsid w:val="00E17630"/>
    <w:rsid w:val="00E82417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E513"/>
  <w15:chartTrackingRefBased/>
  <w15:docId w15:val="{65991A3C-0AE1-4336-8A7C-EC104D4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67"/>
    <w:pPr>
      <w:ind w:left="720"/>
      <w:contextualSpacing/>
    </w:pPr>
  </w:style>
  <w:style w:type="table" w:styleId="TableGrid">
    <w:name w:val="Table Grid"/>
    <w:basedOn w:val="TableNormal"/>
    <w:uiPriority w:val="39"/>
    <w:rsid w:val="0094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transition.co.nz/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Clode</dc:creator>
  <cp:keywords/>
  <dc:description/>
  <cp:lastModifiedBy>Emma Ward</cp:lastModifiedBy>
  <cp:revision>3</cp:revision>
  <dcterms:created xsi:type="dcterms:W3CDTF">2020-04-20T00:14:00Z</dcterms:created>
  <dcterms:modified xsi:type="dcterms:W3CDTF">2020-04-20T00:20:00Z</dcterms:modified>
</cp:coreProperties>
</file>